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4716" w14:textId="77777777" w:rsidR="001D6745" w:rsidRDefault="001D6745">
      <w:pPr>
        <w:jc w:val="center"/>
        <w:rPr>
          <w:rFonts w:ascii="Arial" w:eastAsia="Arial" w:hAnsi="Arial" w:cs="Arial"/>
          <w:b/>
          <w:color w:val="4472C4" w:themeColor="accent1"/>
          <w:sz w:val="30"/>
          <w:szCs w:val="30"/>
        </w:rPr>
      </w:pPr>
    </w:p>
    <w:p w14:paraId="29276EA2" w14:textId="7844936A" w:rsidR="00744764" w:rsidRDefault="0091214B">
      <w:pPr>
        <w:jc w:val="center"/>
        <w:rPr>
          <w:b/>
        </w:rPr>
      </w:pPr>
      <w:r w:rsidRPr="0091214B">
        <w:rPr>
          <w:rFonts w:ascii="Arial" w:eastAsia="Arial" w:hAnsi="Arial" w:cs="Arial"/>
          <w:b/>
          <w:color w:val="4472C4" w:themeColor="accent1"/>
          <w:sz w:val="30"/>
          <w:szCs w:val="30"/>
        </w:rPr>
        <w:t>Formulário sobre Conformidade com a Ciência Aberta</w:t>
      </w:r>
      <w:r w:rsidR="00FE7F68">
        <w:rPr>
          <w:rFonts w:ascii="Arial" w:eastAsia="Arial" w:hAnsi="Arial" w:cs="Arial"/>
          <w:b/>
          <w:color w:val="4472C4" w:themeColor="accent1"/>
          <w:sz w:val="30"/>
          <w:szCs w:val="30"/>
        </w:rPr>
        <w:t>*</w:t>
      </w:r>
      <w:r w:rsidRPr="0091214B">
        <w:rPr>
          <w:rFonts w:ascii="Arial" w:eastAsia="Arial" w:hAnsi="Arial" w:cs="Arial"/>
          <w:b/>
          <w:color w:val="4472C4" w:themeColor="accent1"/>
          <w:sz w:val="30"/>
          <w:szCs w:val="30"/>
        </w:rPr>
        <w:t xml:space="preserve"> </w:t>
      </w:r>
    </w:p>
    <w:p w14:paraId="68CC12A4" w14:textId="547C8375" w:rsidR="00744764" w:rsidRDefault="0091214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 meio deste formulário os autores informam ao periódico Hansenologia Internationalis sobre a conformidade do manuscrito com as práticas de comunicação da Ciência Aberta. Os autores são solicitados a informar: </w:t>
      </w:r>
    </w:p>
    <w:p w14:paraId="77F41CF4" w14:textId="77777777" w:rsidR="00744764" w:rsidRDefault="0091214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(a) se o manuscrito é um </w:t>
      </w:r>
      <w:r w:rsidRPr="00C841A6">
        <w:rPr>
          <w:rFonts w:ascii="Arial" w:eastAsia="Arial" w:hAnsi="Arial" w:cs="Arial"/>
          <w:i/>
          <w:iCs/>
          <w:sz w:val="20"/>
          <w:szCs w:val="20"/>
        </w:rPr>
        <w:t>preprint</w:t>
      </w:r>
      <w:r>
        <w:rPr>
          <w:rFonts w:ascii="Arial" w:eastAsia="Arial" w:hAnsi="Arial" w:cs="Arial"/>
          <w:sz w:val="20"/>
          <w:szCs w:val="20"/>
        </w:rPr>
        <w:t xml:space="preserve"> e, em caso positivo, informar a sua localização;</w:t>
      </w:r>
    </w:p>
    <w:p w14:paraId="6B07B4C0" w14:textId="6C84A13B" w:rsidR="00744764" w:rsidRDefault="0091214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(b) se os dados</w:t>
      </w:r>
      <w:r w:rsidR="001911C0">
        <w:rPr>
          <w:rFonts w:ascii="Arial" w:eastAsia="Arial" w:hAnsi="Arial" w:cs="Arial"/>
          <w:sz w:val="20"/>
          <w:szCs w:val="20"/>
        </w:rPr>
        <w:t xml:space="preserve"> de pesquisa</w:t>
      </w:r>
      <w:r>
        <w:rPr>
          <w:rFonts w:ascii="Arial" w:eastAsia="Arial" w:hAnsi="Arial" w:cs="Arial"/>
          <w:sz w:val="20"/>
          <w:szCs w:val="20"/>
        </w:rPr>
        <w:t xml:space="preserve">, códigos de programas e outros materiais subjacentes ao texto do manuscrito estão devidamente citados e referenciados; e, </w:t>
      </w:r>
    </w:p>
    <w:p w14:paraId="21AE0A2F" w14:textId="77777777" w:rsidR="00744764" w:rsidRDefault="0091214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(c) se aceitam opções de abertura no processo de avaliação por pares. </w:t>
      </w:r>
    </w:p>
    <w:p w14:paraId="2CC97E39" w14:textId="77777777" w:rsidR="00744764" w:rsidRPr="0091214B" w:rsidRDefault="0091214B">
      <w:pPr>
        <w:pStyle w:val="Ttulo1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</w:pPr>
      <w:proofErr w:type="spellStart"/>
      <w:r w:rsidRPr="0091214B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  <w:t>Preprints</w:t>
      </w:r>
      <w:proofErr w:type="spellEnd"/>
    </w:p>
    <w:p w14:paraId="48FC1FAE" w14:textId="77777777" w:rsidR="00744764" w:rsidRDefault="0091214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Depósito do manuscrito em um servidor de </w:t>
      </w:r>
      <w:proofErr w:type="spellStart"/>
      <w:r w:rsidRPr="00C841A6">
        <w:rPr>
          <w:rFonts w:ascii="Arial" w:eastAsia="Arial" w:hAnsi="Arial" w:cs="Arial"/>
          <w:i/>
          <w:iCs/>
          <w:sz w:val="20"/>
          <w:szCs w:val="20"/>
        </w:rPr>
        <w:t>preprints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reconhecido pelo periódico.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14:paraId="53CD56A6" w14:textId="77777777" w:rsidTr="009E1A6A">
        <w:tc>
          <w:tcPr>
            <w:tcW w:w="10201" w:type="dxa"/>
            <w:gridSpan w:val="2"/>
          </w:tcPr>
          <w:p w14:paraId="0B584149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manuscrito é um </w:t>
            </w:r>
            <w:r w:rsidRPr="00C841A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preprint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744764" w14:paraId="134A432F" w14:textId="77777777" w:rsidTr="009E1A6A">
        <w:tc>
          <w:tcPr>
            <w:tcW w:w="562" w:type="dxa"/>
          </w:tcPr>
          <w:p w14:paraId="078202F0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21B7627E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- Nome do servidor de </w:t>
            </w:r>
            <w:proofErr w:type="spellStart"/>
            <w:r w:rsidRPr="00C841A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Preprints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DOI do </w:t>
            </w:r>
            <w:r w:rsidRPr="00C841A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Preprint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44764" w14:paraId="0A957DCA" w14:textId="77777777" w:rsidTr="009E1A6A">
        <w:tc>
          <w:tcPr>
            <w:tcW w:w="562" w:type="dxa"/>
          </w:tcPr>
          <w:p w14:paraId="23001986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55DFED0A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4B7E385E" w14:textId="77777777" w:rsidR="00744764" w:rsidRDefault="0091214B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r w:rsidRPr="0091214B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  <w:t>Disponibilidade de Dados de Pesquisa e outros Materiais</w:t>
      </w:r>
    </w:p>
    <w:p w14:paraId="44454E95" w14:textId="2486656B" w:rsidR="00744764" w:rsidRDefault="0091214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Autores são encorajados a disponibilizar todos os conteúdos (dados</w:t>
      </w:r>
      <w:r w:rsidR="001911C0">
        <w:rPr>
          <w:rFonts w:ascii="Arial" w:eastAsia="Arial" w:hAnsi="Arial" w:cs="Arial"/>
          <w:sz w:val="20"/>
          <w:szCs w:val="20"/>
        </w:rPr>
        <w:t xml:space="preserve"> de pesquisa</w:t>
      </w:r>
      <w:r>
        <w:rPr>
          <w:rFonts w:ascii="Arial" w:eastAsia="Arial" w:hAnsi="Arial" w:cs="Arial"/>
          <w:sz w:val="20"/>
          <w:szCs w:val="20"/>
        </w:rPr>
        <w:t>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14:paraId="255741E6" w14:textId="77777777" w:rsidTr="009E1A6A">
        <w:tc>
          <w:tcPr>
            <w:tcW w:w="10201" w:type="dxa"/>
            <w:gridSpan w:val="2"/>
          </w:tcPr>
          <w:p w14:paraId="31E47B34" w14:textId="286CB369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 conteúdos subjacentes ao texto do manuscrito estão disponíveis em sua totalidade e sem restrições ou assim estarão no momento da publicação?</w:t>
            </w:r>
          </w:p>
        </w:tc>
      </w:tr>
      <w:tr w:rsidR="00744764" w14:paraId="5C3E8C49" w14:textId="77777777" w:rsidTr="009E1A6A">
        <w:tc>
          <w:tcPr>
            <w:tcW w:w="562" w:type="dxa"/>
          </w:tcPr>
          <w:p w14:paraId="1F87DD63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3A44E7B9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Sim:</w:t>
            </w:r>
          </w:p>
          <w:p w14:paraId="007A6600" w14:textId="7308714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subjacentes ao texto da pesquisa estão contidos no manuscrito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2A7AD8B" w14:textId="503A01B2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estão disponíveis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os conteúdos estarão disponíveis no momento da publicação do artigo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6D0F6089" w14:textId="77777777" w:rsidR="001911C0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14:paraId="04051CA1" w14:textId="091B0805" w:rsidR="001911C0" w:rsidRDefault="0091214B" w:rsidP="001911C0">
            <w:pPr>
              <w:ind w:firstLine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Segue títulos e respectivas URLs, números de acesso ou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dos arquivos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dos conteúdos subjacentes ao texto do artigo (use uma linha para cada dado):</w:t>
            </w:r>
          </w:p>
          <w:p w14:paraId="5167107E" w14:textId="71916CD1" w:rsidR="001911C0" w:rsidRDefault="001911C0" w:rsidP="001911C0">
            <w:pPr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</w:t>
            </w:r>
            <w:r w:rsidR="0091214B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14:paraId="25B99965" w14:textId="5A0AD982" w:rsidR="00744764" w:rsidRDefault="007447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4764" w14:paraId="5CA24489" w14:textId="77777777" w:rsidTr="009E1A6A">
        <w:tc>
          <w:tcPr>
            <w:tcW w:w="562" w:type="dxa"/>
          </w:tcPr>
          <w:p w14:paraId="6698A921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099D4450" w14:textId="2B098DF1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Não: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dados estão disponíveis sob demanda dos 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revisores;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após a publicação os dados estarão disponíveis sob demanda aos autores –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condição justificada no manuscrito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7152650F" w14:textId="4D9C44B1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dados não podem ser disponibilizados publicamente. Justifique a seguir: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________________</w:t>
            </w:r>
          </w:p>
          <w:p w14:paraId="47FAC299" w14:textId="0DF38A75" w:rsidR="001911C0" w:rsidRDefault="001911C0" w:rsidP="001911C0">
            <w:pPr>
              <w:ind w:firstLine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</w:t>
            </w:r>
          </w:p>
          <w:p w14:paraId="00FBF2E7" w14:textId="77777777" w:rsidR="00744764" w:rsidRDefault="007447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F8424D" w14:textId="77777777" w:rsidR="00744764" w:rsidRPr="0091214B" w:rsidRDefault="0091214B">
      <w:pPr>
        <w:pStyle w:val="Ttulo1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</w:pPr>
      <w:r w:rsidRPr="0091214B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  <w:t>Aberturas na avaliação por pares</w:t>
      </w:r>
    </w:p>
    <w:p w14:paraId="28145186" w14:textId="77777777" w:rsidR="00744764" w:rsidRDefault="0091214B">
      <w:pPr>
        <w:pStyle w:val="Ttulo1"/>
        <w:spacing w:before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 autores poderão optar por um ou mais meios de abertura do processo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review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oferecidos pelo periódico. 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14:paraId="4028EF1E" w14:textId="77777777" w:rsidTr="009E1A6A">
        <w:tc>
          <w:tcPr>
            <w:tcW w:w="10201" w:type="dxa"/>
            <w:gridSpan w:val="2"/>
          </w:tcPr>
          <w:p w14:paraId="2E885B72" w14:textId="697C85E2" w:rsidR="00744764" w:rsidRDefault="001911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em interagir diretamente com revisores responsáveis pela avaliação do manuscrito?</w:t>
            </w:r>
          </w:p>
        </w:tc>
      </w:tr>
      <w:tr w:rsidR="00744764" w14:paraId="1EF8B1FD" w14:textId="77777777" w:rsidTr="009E1A6A">
        <w:tc>
          <w:tcPr>
            <w:tcW w:w="562" w:type="dxa"/>
          </w:tcPr>
          <w:p w14:paraId="7D6A2F68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6DA99CFE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744764" w14:paraId="7560C77C" w14:textId="77777777" w:rsidTr="009E1A6A">
        <w:tc>
          <w:tcPr>
            <w:tcW w:w="562" w:type="dxa"/>
          </w:tcPr>
          <w:p w14:paraId="45D0F82C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7CCD91D6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  <w:tr w:rsidR="00744764" w14:paraId="37AF2A5D" w14:textId="77777777" w:rsidTr="009E1A6A">
        <w:tc>
          <w:tcPr>
            <w:tcW w:w="10201" w:type="dxa"/>
            <w:gridSpan w:val="2"/>
          </w:tcPr>
          <w:p w14:paraId="1CD1CCEC" w14:textId="43DFEDD9" w:rsidR="00744764" w:rsidRDefault="001911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com a publicação dos pareceres da avaliação de aprovação do manuscrito?</w:t>
            </w:r>
          </w:p>
        </w:tc>
      </w:tr>
      <w:tr w:rsidR="00744764" w14:paraId="161965F4" w14:textId="77777777" w:rsidTr="009E1A6A">
        <w:tc>
          <w:tcPr>
            <w:tcW w:w="562" w:type="dxa"/>
          </w:tcPr>
          <w:p w14:paraId="55F90734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639" w:type="dxa"/>
          </w:tcPr>
          <w:p w14:paraId="4D96326D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744764" w14:paraId="30A3CCA7" w14:textId="77777777" w:rsidTr="009E1A6A">
        <w:trPr>
          <w:trHeight w:val="70"/>
        </w:trPr>
        <w:tc>
          <w:tcPr>
            <w:tcW w:w="562" w:type="dxa"/>
          </w:tcPr>
          <w:p w14:paraId="6768F9C3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639" w:type="dxa"/>
          </w:tcPr>
          <w:p w14:paraId="4142898D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2E9FE596" w14:textId="5C3C0E6A" w:rsidR="00FE7F68" w:rsidRPr="00FE7F68" w:rsidRDefault="00FE7F68">
      <w:pPr>
        <w:rPr>
          <w:rFonts w:ascii="Arial" w:eastAsia="Arial" w:hAnsi="Arial" w:cs="Arial"/>
          <w:sz w:val="16"/>
          <w:szCs w:val="16"/>
        </w:rPr>
      </w:pPr>
      <w:r w:rsidRPr="00FE7F68">
        <w:rPr>
          <w:rFonts w:ascii="Arial" w:eastAsia="Arial" w:hAnsi="Arial" w:cs="Arial"/>
          <w:b/>
          <w:color w:val="4472C4" w:themeColor="accent1"/>
          <w:sz w:val="16"/>
          <w:szCs w:val="16"/>
        </w:rPr>
        <w:t>* Documento</w:t>
      </w:r>
      <w:r w:rsidRPr="00FE7F68">
        <w:rPr>
          <w:rFonts w:ascii="Arial" w:eastAsia="Arial" w:hAnsi="Arial" w:cs="Arial"/>
          <w:sz w:val="16"/>
          <w:szCs w:val="16"/>
        </w:rPr>
        <w:t xml:space="preserve"> </w:t>
      </w:r>
      <w:r w:rsidR="005542B9">
        <w:rPr>
          <w:rFonts w:ascii="Arial" w:eastAsia="Arial" w:hAnsi="Arial" w:cs="Arial"/>
          <w:b/>
          <w:color w:val="4472C4" w:themeColor="accent1"/>
          <w:sz w:val="16"/>
          <w:szCs w:val="16"/>
        </w:rPr>
        <w:t>adaptado de</w:t>
      </w:r>
      <w:r w:rsidRPr="00FE7F68">
        <w:rPr>
          <w:rFonts w:ascii="Arial" w:eastAsia="Arial" w:hAnsi="Arial" w:cs="Arial"/>
          <w:b/>
          <w:color w:val="4472C4" w:themeColor="accent1"/>
          <w:sz w:val="16"/>
          <w:szCs w:val="16"/>
        </w:rPr>
        <w:t xml:space="preserve"> </w:t>
      </w:r>
      <w:hyperlink r:id="rId7" w:history="1">
        <w:r w:rsidRPr="009E1A6A">
          <w:rPr>
            <w:rStyle w:val="Hyperlink"/>
            <w:rFonts w:ascii="Arial" w:eastAsia="Arial" w:hAnsi="Arial" w:cs="Arial"/>
            <w:b/>
            <w:sz w:val="16"/>
            <w:szCs w:val="16"/>
          </w:rPr>
          <w:t>SciELO Brasil</w:t>
        </w:r>
      </w:hyperlink>
      <w:r>
        <w:rPr>
          <w:b/>
          <w:color w:val="1F3864"/>
          <w:sz w:val="16"/>
          <w:szCs w:val="16"/>
        </w:rPr>
        <w:t>.</w:t>
      </w:r>
      <w:r w:rsidRPr="00FE7F68">
        <w:rPr>
          <w:b/>
          <w:color w:val="1F3864"/>
          <w:sz w:val="16"/>
          <w:szCs w:val="16"/>
        </w:rPr>
        <w:br/>
      </w:r>
    </w:p>
    <w:sectPr w:rsidR="00FE7F68" w:rsidRPr="00FE7F68">
      <w:headerReference w:type="default" r:id="rId8"/>
      <w:pgSz w:w="11906" w:h="16838"/>
      <w:pgMar w:top="720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C3B1" w14:textId="77777777" w:rsidR="0091214B" w:rsidRDefault="0091214B">
      <w:pPr>
        <w:spacing w:after="0" w:line="240" w:lineRule="auto"/>
      </w:pPr>
      <w:r>
        <w:separator/>
      </w:r>
    </w:p>
  </w:endnote>
  <w:endnote w:type="continuationSeparator" w:id="0">
    <w:p w14:paraId="13ABA3BB" w14:textId="77777777" w:rsidR="0091214B" w:rsidRDefault="0091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1DFA" w14:textId="77777777" w:rsidR="0091214B" w:rsidRDefault="0091214B">
      <w:pPr>
        <w:spacing w:after="0" w:line="240" w:lineRule="auto"/>
      </w:pPr>
      <w:r>
        <w:separator/>
      </w:r>
    </w:p>
  </w:footnote>
  <w:footnote w:type="continuationSeparator" w:id="0">
    <w:p w14:paraId="43FC6C2D" w14:textId="77777777" w:rsidR="0091214B" w:rsidRDefault="0091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E31E" w14:textId="519B99E9" w:rsidR="00744764" w:rsidRDefault="009121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6C5091" wp14:editId="32862419">
          <wp:extent cx="6473825" cy="1334770"/>
          <wp:effectExtent l="0" t="0" r="3175" b="0"/>
          <wp:docPr id="3757519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51977" name="Imagem 375751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64"/>
    <w:rsid w:val="000F6834"/>
    <w:rsid w:val="001433B2"/>
    <w:rsid w:val="001911C0"/>
    <w:rsid w:val="001D6745"/>
    <w:rsid w:val="002807CE"/>
    <w:rsid w:val="005542B9"/>
    <w:rsid w:val="006147C2"/>
    <w:rsid w:val="006C7B2A"/>
    <w:rsid w:val="00744764"/>
    <w:rsid w:val="00760425"/>
    <w:rsid w:val="0091214B"/>
    <w:rsid w:val="00921740"/>
    <w:rsid w:val="00981CCA"/>
    <w:rsid w:val="009E1A6A"/>
    <w:rsid w:val="00C41160"/>
    <w:rsid w:val="00C841A6"/>
    <w:rsid w:val="00D87D23"/>
    <w:rsid w:val="00E311B1"/>
    <w:rsid w:val="00F35831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9B2D"/>
  <w15:docId w15:val="{25EB74FC-421B-481A-8A31-14C89AAF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1A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A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1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C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C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1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lo.org/pt-br/sobre-o-scielo/metodologias-e-tecnologias/formulario-sobre-conformidade-com-a-ciencia-aber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Hansenologia</cp:lastModifiedBy>
  <cp:revision>2</cp:revision>
  <dcterms:created xsi:type="dcterms:W3CDTF">2026-05-11T15:55:00Z</dcterms:created>
  <dcterms:modified xsi:type="dcterms:W3CDTF">2026-05-11T15:55:00Z</dcterms:modified>
</cp:coreProperties>
</file>